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ind w:left="-567" w:hanging="567"/>
        <w:jc w:val="center"/>
        <w:rPr>
          <w:b/>
        </w:rPr>
      </w:pPr>
      <w:bookmarkStart w:id="0" w:name="_GoBack"/>
      <w:bookmarkEnd w:id="0"/>
      <w:r>
        <w:rPr>
          <w:b/>
        </w:rPr>
        <w:t xml:space="preserve">CHƯƠNG TRÌNH TRỌNG TÂM NĂM 2025 CỦA PHÒNG LSBG, SỞ NGOẠI VỤ </w:t>
      </w:r>
    </w:p>
    <w:p>
      <w:pPr>
        <w:rPr>
          <w:i/>
          <w:color w:val="FF0000"/>
          <w:sz w:val="10"/>
        </w:rPr>
      </w:pP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820"/>
        <w:gridCol w:w="2438"/>
        <w:gridCol w:w="1276"/>
        <w:gridCol w:w="1559"/>
        <w:gridCol w:w="1418"/>
        <w:gridCol w:w="1247"/>
        <w:gridCol w:w="1559"/>
      </w:tblGrid>
      <w:tr>
        <w:trPr>
          <w:tblHeader/>
        </w:trPr>
        <w:tc>
          <w:tcPr>
            <w:tcW w:w="851" w:type="dxa"/>
            <w:tcBorders>
              <w:top w:val="single" w:sz="4" w:space="0" w:color="auto"/>
              <w:left w:val="single" w:sz="4" w:space="0" w:color="auto"/>
              <w:bottom w:val="single" w:sz="4" w:space="0" w:color="auto"/>
              <w:right w:val="single" w:sz="4" w:space="0" w:color="auto"/>
            </w:tcBorders>
            <w:vAlign w:val="center"/>
          </w:tcPr>
          <w:p>
            <w:pPr>
              <w:jc w:val="center"/>
              <w:rPr>
                <w:b/>
              </w:rPr>
            </w:pPr>
            <w:r>
              <w:rPr>
                <w:b/>
                <w:sz w:val="26"/>
              </w:rPr>
              <w:t>STT</w:t>
            </w:r>
          </w:p>
        </w:tc>
        <w:tc>
          <w:tcPr>
            <w:tcW w:w="4820" w:type="dxa"/>
            <w:tcBorders>
              <w:top w:val="single" w:sz="4" w:space="0" w:color="auto"/>
              <w:left w:val="single" w:sz="4" w:space="0" w:color="auto"/>
              <w:bottom w:val="single" w:sz="4" w:space="0" w:color="auto"/>
              <w:right w:val="single" w:sz="4" w:space="0" w:color="auto"/>
            </w:tcBorders>
            <w:vAlign w:val="center"/>
          </w:tcPr>
          <w:p>
            <w:pPr>
              <w:jc w:val="center"/>
              <w:rPr>
                <w:b/>
              </w:rPr>
            </w:pPr>
            <w:r>
              <w:rPr>
                <w:b/>
              </w:rPr>
              <w:t>Nội dung hoạt động trọng tâm</w:t>
            </w:r>
          </w:p>
        </w:tc>
        <w:tc>
          <w:tcPr>
            <w:tcW w:w="2438" w:type="dxa"/>
            <w:tcBorders>
              <w:top w:val="single" w:sz="4" w:space="0" w:color="auto"/>
              <w:left w:val="single" w:sz="4" w:space="0" w:color="auto"/>
              <w:bottom w:val="single" w:sz="4" w:space="0" w:color="auto"/>
              <w:right w:val="single" w:sz="4" w:space="0" w:color="auto"/>
            </w:tcBorders>
            <w:vAlign w:val="center"/>
          </w:tcPr>
          <w:p>
            <w:pPr>
              <w:jc w:val="center"/>
              <w:rPr>
                <w:b/>
              </w:rPr>
            </w:pPr>
            <w:r>
              <w:rPr>
                <w:b/>
              </w:rPr>
              <w:t>Lãnh đạo phụ trách</w:t>
            </w:r>
          </w:p>
        </w:tc>
        <w:tc>
          <w:tcPr>
            <w:tcW w:w="1276" w:type="dxa"/>
            <w:tcBorders>
              <w:top w:val="single" w:sz="4" w:space="0" w:color="auto"/>
              <w:left w:val="single" w:sz="4" w:space="0" w:color="auto"/>
              <w:bottom w:val="single" w:sz="4" w:space="0" w:color="auto"/>
              <w:right w:val="single" w:sz="4" w:space="0" w:color="auto"/>
            </w:tcBorders>
            <w:vAlign w:val="center"/>
          </w:tcPr>
          <w:p>
            <w:pPr>
              <w:jc w:val="center"/>
              <w:rPr>
                <w:b/>
              </w:rPr>
            </w:pPr>
            <w:r>
              <w:rPr>
                <w:b/>
              </w:rPr>
              <w:t>Đơn vị chủ trì</w:t>
            </w:r>
          </w:p>
        </w:tc>
        <w:tc>
          <w:tcPr>
            <w:tcW w:w="1559" w:type="dxa"/>
            <w:tcBorders>
              <w:top w:val="single" w:sz="4" w:space="0" w:color="auto"/>
              <w:left w:val="single" w:sz="4" w:space="0" w:color="auto"/>
              <w:bottom w:val="single" w:sz="4" w:space="0" w:color="auto"/>
              <w:right w:val="single" w:sz="4" w:space="0" w:color="auto"/>
            </w:tcBorders>
            <w:vAlign w:val="center"/>
          </w:tcPr>
          <w:p>
            <w:pPr>
              <w:jc w:val="center"/>
              <w:rPr>
                <w:b/>
              </w:rPr>
            </w:pPr>
            <w:r>
              <w:rPr>
                <w:b/>
              </w:rPr>
              <w:t>Đơn vị phối hợp</w:t>
            </w:r>
          </w:p>
        </w:tc>
        <w:tc>
          <w:tcPr>
            <w:tcW w:w="1418" w:type="dxa"/>
            <w:tcBorders>
              <w:top w:val="single" w:sz="4" w:space="0" w:color="auto"/>
              <w:left w:val="single" w:sz="4" w:space="0" w:color="auto"/>
              <w:bottom w:val="single" w:sz="4" w:space="0" w:color="auto"/>
              <w:right w:val="single" w:sz="4" w:space="0" w:color="auto"/>
            </w:tcBorders>
            <w:vAlign w:val="center"/>
          </w:tcPr>
          <w:p>
            <w:pPr>
              <w:jc w:val="center"/>
              <w:rPr>
                <w:b/>
              </w:rPr>
            </w:pPr>
            <w:r>
              <w:rPr>
                <w:b/>
              </w:rPr>
              <w:t>Thời gian bắt đầu</w:t>
            </w:r>
          </w:p>
        </w:tc>
        <w:tc>
          <w:tcPr>
            <w:tcW w:w="1247" w:type="dxa"/>
            <w:tcBorders>
              <w:top w:val="single" w:sz="4" w:space="0" w:color="auto"/>
              <w:left w:val="single" w:sz="4" w:space="0" w:color="auto"/>
              <w:bottom w:val="single" w:sz="4" w:space="0" w:color="auto"/>
              <w:right w:val="single" w:sz="4" w:space="0" w:color="auto"/>
            </w:tcBorders>
          </w:tcPr>
          <w:p>
            <w:pPr>
              <w:jc w:val="center"/>
              <w:rPr>
                <w:b/>
              </w:rPr>
            </w:pPr>
            <w:r>
              <w:rPr>
                <w:b/>
              </w:rPr>
              <w:t>Thời gian hoàn thành</w:t>
            </w:r>
          </w:p>
        </w:tc>
        <w:tc>
          <w:tcPr>
            <w:tcW w:w="1559" w:type="dxa"/>
            <w:tcBorders>
              <w:top w:val="single" w:sz="4" w:space="0" w:color="auto"/>
              <w:left w:val="single" w:sz="4" w:space="0" w:color="auto"/>
              <w:bottom w:val="single" w:sz="4" w:space="0" w:color="auto"/>
              <w:right w:val="single" w:sz="4" w:space="0" w:color="auto"/>
            </w:tcBorders>
          </w:tcPr>
          <w:p>
            <w:pPr>
              <w:jc w:val="center"/>
              <w:rPr>
                <w:b/>
              </w:rPr>
            </w:pPr>
          </w:p>
          <w:p>
            <w:pPr>
              <w:jc w:val="center"/>
              <w:rPr>
                <w:b/>
              </w:rPr>
            </w:pPr>
            <w:r>
              <w:rPr>
                <w:b/>
              </w:rPr>
              <w:t>Ghi chú</w:t>
            </w:r>
          </w:p>
        </w:tc>
      </w:tr>
      <w:tr>
        <w:tc>
          <w:tcPr>
            <w:tcW w:w="851" w:type="dxa"/>
            <w:shd w:val="clear" w:color="auto" w:fill="auto"/>
            <w:vAlign w:val="center"/>
          </w:tcPr>
          <w:p>
            <w:pPr>
              <w:pStyle w:val="ListParagraph"/>
              <w:numPr>
                <w:ilvl w:val="0"/>
                <w:numId w:val="8"/>
              </w:numPr>
            </w:pPr>
          </w:p>
        </w:tc>
        <w:tc>
          <w:tcPr>
            <w:tcW w:w="4820" w:type="dxa"/>
            <w:shd w:val="clear" w:color="auto" w:fill="auto"/>
            <w:vAlign w:val="center"/>
          </w:tcPr>
          <w:p>
            <w:pPr>
              <w:jc w:val="both"/>
              <w:rPr>
                <w:color w:val="00B0F0"/>
              </w:rPr>
            </w:pPr>
            <w:r>
              <w:rPr>
                <w:color w:val="00B0F0"/>
              </w:rPr>
              <w:t xml:space="preserve"> Tham mưu Tỉnh Kế hoạch và tổ chức chương trình xuân quê hương 2024 “gặp mặt, kết nối kiều bào” nhân dịp Tết cổ truyền</w:t>
            </w:r>
          </w:p>
        </w:tc>
        <w:tc>
          <w:tcPr>
            <w:tcW w:w="2438" w:type="dxa"/>
            <w:shd w:val="clear" w:color="auto" w:fill="auto"/>
            <w:vAlign w:val="center"/>
          </w:tcPr>
          <w:p>
            <w:pPr>
              <w:jc w:val="both"/>
              <w:rPr>
                <w:color w:val="00B0F0"/>
              </w:rPr>
            </w:pPr>
            <w:r>
              <w:rPr>
                <w:color w:val="00B0F0"/>
              </w:rPr>
              <w:t>Ban Giám đốc</w:t>
            </w:r>
          </w:p>
        </w:tc>
        <w:tc>
          <w:tcPr>
            <w:tcW w:w="1276" w:type="dxa"/>
            <w:shd w:val="clear" w:color="auto" w:fill="auto"/>
            <w:vAlign w:val="center"/>
          </w:tcPr>
          <w:p>
            <w:pPr>
              <w:jc w:val="center"/>
              <w:rPr>
                <w:color w:val="00B0F0"/>
              </w:rPr>
            </w:pPr>
            <w:r>
              <w:rPr>
                <w:color w:val="00B0F0"/>
              </w:rPr>
              <w:t>LSBG</w:t>
            </w:r>
          </w:p>
        </w:tc>
        <w:tc>
          <w:tcPr>
            <w:tcW w:w="1559" w:type="dxa"/>
            <w:shd w:val="clear" w:color="auto" w:fill="auto"/>
            <w:vAlign w:val="center"/>
          </w:tcPr>
          <w:p>
            <w:pPr>
              <w:jc w:val="both"/>
              <w:rPr>
                <w:color w:val="00B0F0"/>
              </w:rPr>
            </w:pPr>
            <w:r>
              <w:rPr>
                <w:color w:val="00B0F0"/>
              </w:rPr>
              <w:t>Các phòng, đơn vị</w:t>
            </w:r>
          </w:p>
        </w:tc>
        <w:tc>
          <w:tcPr>
            <w:tcW w:w="1418" w:type="dxa"/>
            <w:shd w:val="clear" w:color="auto" w:fill="auto"/>
            <w:vAlign w:val="center"/>
          </w:tcPr>
          <w:p>
            <w:pPr>
              <w:jc w:val="both"/>
              <w:rPr>
                <w:color w:val="00B0F0"/>
              </w:rPr>
            </w:pPr>
            <w:r>
              <w:rPr>
                <w:color w:val="00B0F0"/>
              </w:rPr>
              <w:t>Tháng 1</w:t>
            </w:r>
          </w:p>
        </w:tc>
        <w:tc>
          <w:tcPr>
            <w:tcW w:w="1247" w:type="dxa"/>
            <w:shd w:val="clear" w:color="auto" w:fill="auto"/>
            <w:vAlign w:val="center"/>
          </w:tcPr>
          <w:p>
            <w:pPr>
              <w:jc w:val="both"/>
              <w:rPr>
                <w:color w:val="00B0F0"/>
              </w:rPr>
            </w:pPr>
            <w:r>
              <w:rPr>
                <w:color w:val="00B0F0"/>
              </w:rPr>
              <w:t>Tháng 2</w:t>
            </w:r>
          </w:p>
        </w:tc>
        <w:tc>
          <w:tcPr>
            <w:tcW w:w="1559" w:type="dxa"/>
            <w:shd w:val="clear" w:color="auto" w:fill="auto"/>
            <w:vAlign w:val="center"/>
          </w:tcPr>
          <w:p>
            <w:pPr>
              <w:rPr>
                <w:color w:val="00B0F0"/>
                <w:sz w:val="24"/>
                <w:szCs w:val="24"/>
              </w:rPr>
            </w:pPr>
            <w:r>
              <w:rPr>
                <w:color w:val="00B0F0"/>
                <w:sz w:val="24"/>
                <w:szCs w:val="24"/>
              </w:rPr>
              <w:t>Đã hoàn thành, Kế hoạch số 02/KH-UBND ngày 06/01/2025 của UBND tỉnh</w:t>
            </w:r>
          </w:p>
        </w:tc>
      </w:tr>
      <w:tr>
        <w:tc>
          <w:tcPr>
            <w:tcW w:w="851" w:type="dxa"/>
            <w:shd w:val="clear" w:color="auto" w:fill="auto"/>
            <w:vAlign w:val="center"/>
          </w:tcPr>
          <w:p>
            <w:pPr>
              <w:pStyle w:val="ListParagraph"/>
              <w:numPr>
                <w:ilvl w:val="0"/>
                <w:numId w:val="8"/>
              </w:numPr>
            </w:pPr>
          </w:p>
        </w:tc>
        <w:tc>
          <w:tcPr>
            <w:tcW w:w="4820" w:type="dxa"/>
            <w:shd w:val="clear" w:color="auto" w:fill="auto"/>
            <w:vAlign w:val="center"/>
          </w:tcPr>
          <w:p>
            <w:pPr>
              <w:jc w:val="both"/>
              <w:rPr>
                <w:color w:val="00B0F0"/>
              </w:rPr>
            </w:pPr>
            <w:r>
              <w:rPr>
                <w:color w:val="00B0F0"/>
              </w:rPr>
              <w:t xml:space="preserve">Tham mưu các thủ tục cho đoàn lãnh đạo tỉnh đi chúc Tết cổ truyền các tỉnh: </w:t>
            </w:r>
            <w:r>
              <w:rPr>
                <w:rStyle w:val="fontstyle01"/>
                <w:color w:val="00B0F0"/>
                <w:sz w:val="28"/>
                <w:szCs w:val="28"/>
              </w:rPr>
              <w:t>Bolikhămxay, Khăm Muồn, Savannakhet, Thủ đô Viêng Chăn và một số tỉnh khác của Lào.</w:t>
            </w:r>
          </w:p>
        </w:tc>
        <w:tc>
          <w:tcPr>
            <w:tcW w:w="2438" w:type="dxa"/>
            <w:shd w:val="clear" w:color="auto" w:fill="auto"/>
            <w:vAlign w:val="center"/>
          </w:tcPr>
          <w:p>
            <w:pPr>
              <w:jc w:val="center"/>
              <w:rPr>
                <w:color w:val="00B0F0"/>
              </w:rPr>
            </w:pPr>
            <w:r>
              <w:rPr>
                <w:color w:val="00B0F0"/>
                <w:lang w:val="vi-VN"/>
              </w:rPr>
              <w:t xml:space="preserve">Đ/c </w:t>
            </w:r>
            <w:r>
              <w:rPr>
                <w:color w:val="00B0F0"/>
              </w:rPr>
              <w:t>Ngô Thị Hoài Nam</w:t>
            </w:r>
            <w:r>
              <w:rPr>
                <w:color w:val="00B0F0"/>
                <w:lang w:val="vi-VN"/>
              </w:rPr>
              <w:t>, PGĐ</w:t>
            </w:r>
          </w:p>
        </w:tc>
        <w:tc>
          <w:tcPr>
            <w:tcW w:w="1276" w:type="dxa"/>
            <w:shd w:val="clear" w:color="auto" w:fill="auto"/>
            <w:vAlign w:val="center"/>
          </w:tcPr>
          <w:p>
            <w:pPr>
              <w:jc w:val="center"/>
              <w:rPr>
                <w:color w:val="00B0F0"/>
              </w:rPr>
            </w:pPr>
            <w:r>
              <w:rPr>
                <w:color w:val="00B0F0"/>
              </w:rPr>
              <w:t>LSBG</w:t>
            </w:r>
          </w:p>
        </w:tc>
        <w:tc>
          <w:tcPr>
            <w:tcW w:w="1559" w:type="dxa"/>
            <w:shd w:val="clear" w:color="auto" w:fill="auto"/>
            <w:vAlign w:val="center"/>
          </w:tcPr>
          <w:p>
            <w:pPr>
              <w:jc w:val="center"/>
              <w:rPr>
                <w:color w:val="00B0F0"/>
              </w:rPr>
            </w:pPr>
            <w:r>
              <w:rPr>
                <w:color w:val="00B0F0"/>
              </w:rPr>
              <w:t>Các phòng, đơn vị</w:t>
            </w:r>
          </w:p>
        </w:tc>
        <w:tc>
          <w:tcPr>
            <w:tcW w:w="1418" w:type="dxa"/>
            <w:shd w:val="clear" w:color="auto" w:fill="auto"/>
            <w:vAlign w:val="center"/>
          </w:tcPr>
          <w:p>
            <w:pPr>
              <w:jc w:val="center"/>
              <w:rPr>
                <w:color w:val="00B0F0"/>
              </w:rPr>
            </w:pPr>
            <w:r>
              <w:rPr>
                <w:color w:val="00B0F0"/>
              </w:rPr>
              <w:t>Tháng 3</w:t>
            </w:r>
          </w:p>
        </w:tc>
        <w:tc>
          <w:tcPr>
            <w:tcW w:w="1247" w:type="dxa"/>
            <w:shd w:val="clear" w:color="auto" w:fill="auto"/>
            <w:vAlign w:val="center"/>
          </w:tcPr>
          <w:p>
            <w:pPr>
              <w:jc w:val="center"/>
              <w:rPr>
                <w:color w:val="00B0F0"/>
              </w:rPr>
            </w:pPr>
            <w:r>
              <w:rPr>
                <w:color w:val="00B0F0"/>
              </w:rPr>
              <w:t>Tháng 4</w:t>
            </w:r>
          </w:p>
        </w:tc>
        <w:tc>
          <w:tcPr>
            <w:tcW w:w="1559" w:type="dxa"/>
            <w:shd w:val="clear" w:color="auto" w:fill="auto"/>
            <w:vAlign w:val="center"/>
          </w:tcPr>
          <w:p>
            <w:pPr>
              <w:rPr>
                <w:color w:val="00B0F0"/>
                <w:sz w:val="24"/>
                <w:szCs w:val="24"/>
              </w:rPr>
            </w:pPr>
            <w:r>
              <w:rPr>
                <w:color w:val="00B0F0"/>
                <w:sz w:val="24"/>
                <w:szCs w:val="24"/>
              </w:rPr>
              <w:t>Đã hoàn thành, QĐ số 1211-QĐ/TU ngày 27/3/2025 và QĐ số 1212-QĐ/TU ngày 26/3/2025 của TU</w:t>
            </w:r>
          </w:p>
        </w:tc>
      </w:tr>
      <w:tr>
        <w:tc>
          <w:tcPr>
            <w:tcW w:w="851" w:type="dxa"/>
            <w:shd w:val="clear" w:color="auto" w:fill="auto"/>
            <w:vAlign w:val="center"/>
          </w:tcPr>
          <w:p>
            <w:pPr>
              <w:pStyle w:val="ListParagraph"/>
              <w:numPr>
                <w:ilvl w:val="0"/>
                <w:numId w:val="8"/>
              </w:numPr>
            </w:pPr>
          </w:p>
        </w:tc>
        <w:tc>
          <w:tcPr>
            <w:tcW w:w="4820" w:type="dxa"/>
            <w:shd w:val="clear" w:color="auto" w:fill="auto"/>
            <w:vAlign w:val="center"/>
          </w:tcPr>
          <w:p>
            <w:pPr>
              <w:jc w:val="both"/>
              <w:rPr>
                <w:color w:val="00B0F0"/>
              </w:rPr>
            </w:pPr>
            <w:r>
              <w:rPr>
                <w:color w:val="00B0F0"/>
                <w:sz w:val="26"/>
                <w:szCs w:val="24"/>
              </w:rPr>
              <w:t>Phối hợp Bộ Chỉ huy QS tỉnh, tham mưu nội dung cho Đoàn Ban Chỉ đạo 515 của tỉnh sang đón, nhận tiễn đưa Hài cốt liệt sỹ chuyên gia quân tình nguyện Việt Nam hy sinh tại Lào về nước</w:t>
            </w:r>
          </w:p>
        </w:tc>
        <w:tc>
          <w:tcPr>
            <w:tcW w:w="2438" w:type="dxa"/>
            <w:shd w:val="clear" w:color="auto" w:fill="auto"/>
            <w:vAlign w:val="center"/>
          </w:tcPr>
          <w:p>
            <w:pPr>
              <w:rPr>
                <w:color w:val="00B0F0"/>
              </w:rPr>
            </w:pPr>
            <w:r>
              <w:rPr>
                <w:color w:val="00B0F0"/>
              </w:rPr>
              <w:t xml:space="preserve"> Ban Giám đốc</w:t>
            </w:r>
          </w:p>
        </w:tc>
        <w:tc>
          <w:tcPr>
            <w:tcW w:w="1276" w:type="dxa"/>
            <w:shd w:val="clear" w:color="auto" w:fill="auto"/>
            <w:vAlign w:val="center"/>
          </w:tcPr>
          <w:p>
            <w:pPr>
              <w:jc w:val="center"/>
              <w:rPr>
                <w:color w:val="00B0F0"/>
              </w:rPr>
            </w:pPr>
            <w:r>
              <w:rPr>
                <w:color w:val="00B0F0"/>
              </w:rPr>
              <w:t>LSBG</w:t>
            </w:r>
          </w:p>
        </w:tc>
        <w:tc>
          <w:tcPr>
            <w:tcW w:w="1559" w:type="dxa"/>
            <w:shd w:val="clear" w:color="auto" w:fill="auto"/>
            <w:vAlign w:val="center"/>
          </w:tcPr>
          <w:p>
            <w:pPr>
              <w:jc w:val="center"/>
              <w:rPr>
                <w:color w:val="00B0F0"/>
              </w:rPr>
            </w:pPr>
            <w:r>
              <w:rPr>
                <w:color w:val="00B0F0"/>
              </w:rPr>
              <w:t>Các phòng, đơn vị</w:t>
            </w:r>
          </w:p>
        </w:tc>
        <w:tc>
          <w:tcPr>
            <w:tcW w:w="1418" w:type="dxa"/>
            <w:shd w:val="clear" w:color="auto" w:fill="auto"/>
            <w:vAlign w:val="center"/>
          </w:tcPr>
          <w:p>
            <w:pPr>
              <w:jc w:val="both"/>
              <w:rPr>
                <w:color w:val="00B0F0"/>
              </w:rPr>
            </w:pPr>
            <w:r>
              <w:rPr>
                <w:color w:val="00B0F0"/>
              </w:rPr>
              <w:t>Tháng 4</w:t>
            </w:r>
          </w:p>
        </w:tc>
        <w:tc>
          <w:tcPr>
            <w:tcW w:w="1247" w:type="dxa"/>
            <w:shd w:val="clear" w:color="auto" w:fill="auto"/>
            <w:vAlign w:val="center"/>
          </w:tcPr>
          <w:p>
            <w:pPr>
              <w:jc w:val="both"/>
              <w:rPr>
                <w:color w:val="00B0F0"/>
              </w:rPr>
            </w:pPr>
            <w:r>
              <w:rPr>
                <w:color w:val="00B0F0"/>
              </w:rPr>
              <w:t>Tháng 5</w:t>
            </w:r>
          </w:p>
        </w:tc>
        <w:tc>
          <w:tcPr>
            <w:tcW w:w="1559" w:type="dxa"/>
            <w:shd w:val="clear" w:color="auto" w:fill="auto"/>
            <w:vAlign w:val="center"/>
          </w:tcPr>
          <w:p>
            <w:pPr>
              <w:rPr>
                <w:color w:val="00B0F0"/>
                <w:sz w:val="24"/>
                <w:szCs w:val="24"/>
              </w:rPr>
            </w:pPr>
            <w:r>
              <w:rPr>
                <w:sz w:val="24"/>
                <w:szCs w:val="24"/>
              </w:rPr>
              <w:t>Đã hoàn thành, Quyết định số 1058/QĐ-UBND ngày 16/5/2025 và Quyết định số 1060/QĐ-UBND ngày 16/5/2025 của UBND tỉnh</w:t>
            </w:r>
          </w:p>
        </w:tc>
      </w:tr>
      <w:tr>
        <w:tc>
          <w:tcPr>
            <w:tcW w:w="851" w:type="dxa"/>
            <w:shd w:val="clear" w:color="auto" w:fill="auto"/>
            <w:vAlign w:val="center"/>
          </w:tcPr>
          <w:p>
            <w:pPr>
              <w:pStyle w:val="ListParagraph"/>
              <w:numPr>
                <w:ilvl w:val="0"/>
                <w:numId w:val="8"/>
              </w:numPr>
            </w:pPr>
          </w:p>
        </w:tc>
        <w:tc>
          <w:tcPr>
            <w:tcW w:w="4820" w:type="dxa"/>
            <w:shd w:val="clear" w:color="auto" w:fill="auto"/>
            <w:vAlign w:val="center"/>
          </w:tcPr>
          <w:p>
            <w:pPr>
              <w:jc w:val="both"/>
            </w:pPr>
            <w:r>
              <w:t>Tham mưu thủ tục cho các đoàn ra: Đoàn đại diện Tỉnh ủy, UBND tỉnh đi công tác tại Liên bang Nga để ký kết Biên bản hợp tác với tỉnh Tula, kết hợp làm việc với các địa phương, đối tác xúc tiến đầu tư vào Hà Tĩnh; Đoàn đại diện Tỉnh ủy, UBND tỉnh đi công tác tại Hoa Kỳ để quảng bá địa phương và xúc tiến đầu tư vào Hà Tĩnh; Đoàn đại diện Tỉnh ủy, UBND tỉnh đi công tác tại Slovakia, Pháp, Ý để để quảng bá địa phương và xúc tiến đầu tư vào Hà Tĩnh.</w:t>
            </w:r>
          </w:p>
        </w:tc>
        <w:tc>
          <w:tcPr>
            <w:tcW w:w="2438" w:type="dxa"/>
            <w:shd w:val="clear" w:color="auto" w:fill="auto"/>
            <w:vAlign w:val="center"/>
          </w:tcPr>
          <w:p>
            <w:pPr>
              <w:jc w:val="center"/>
            </w:pPr>
            <w:r>
              <w:rPr>
                <w:lang w:val="vi-VN"/>
              </w:rPr>
              <w:t xml:space="preserve">Đ/c </w:t>
            </w:r>
            <w:r>
              <w:t>Ngô Thị Hoài Nam</w:t>
            </w:r>
            <w:r>
              <w:rPr>
                <w:lang w:val="vi-VN"/>
              </w:rPr>
              <w:t>, PGĐ</w:t>
            </w:r>
          </w:p>
        </w:tc>
        <w:tc>
          <w:tcPr>
            <w:tcW w:w="1276" w:type="dxa"/>
            <w:shd w:val="clear" w:color="auto" w:fill="auto"/>
            <w:vAlign w:val="center"/>
          </w:tcPr>
          <w:p>
            <w:pPr>
              <w:jc w:val="center"/>
            </w:pPr>
            <w:r>
              <w:t>LSBG</w:t>
            </w:r>
          </w:p>
        </w:tc>
        <w:tc>
          <w:tcPr>
            <w:tcW w:w="1559" w:type="dxa"/>
            <w:shd w:val="clear" w:color="auto" w:fill="auto"/>
            <w:vAlign w:val="center"/>
          </w:tcPr>
          <w:p>
            <w:pPr>
              <w:jc w:val="center"/>
            </w:pPr>
            <w:r>
              <w:t>Các phòng, đơn vị</w:t>
            </w:r>
          </w:p>
        </w:tc>
        <w:tc>
          <w:tcPr>
            <w:tcW w:w="1418" w:type="dxa"/>
            <w:shd w:val="clear" w:color="auto" w:fill="auto"/>
            <w:vAlign w:val="center"/>
          </w:tcPr>
          <w:p>
            <w:pPr>
              <w:jc w:val="center"/>
            </w:pPr>
            <w:r>
              <w:t>Tháng 4</w:t>
            </w:r>
          </w:p>
        </w:tc>
        <w:tc>
          <w:tcPr>
            <w:tcW w:w="1247" w:type="dxa"/>
            <w:shd w:val="clear" w:color="auto" w:fill="auto"/>
            <w:vAlign w:val="center"/>
          </w:tcPr>
          <w:p>
            <w:pPr>
              <w:jc w:val="center"/>
            </w:pPr>
            <w:r>
              <w:t>Tháng 12</w:t>
            </w:r>
          </w:p>
        </w:tc>
        <w:tc>
          <w:tcPr>
            <w:tcW w:w="1559" w:type="dxa"/>
            <w:shd w:val="clear" w:color="auto" w:fill="auto"/>
            <w:vAlign w:val="center"/>
          </w:tcPr>
          <w:p>
            <w:pPr>
              <w:rPr>
                <w:sz w:val="24"/>
                <w:szCs w:val="24"/>
              </w:rPr>
            </w:pPr>
            <w:r>
              <w:rPr>
                <w:sz w:val="24"/>
                <w:szCs w:val="24"/>
              </w:rPr>
              <w:t>Tỉnh không tổ chức các đoàn ra này</w:t>
            </w:r>
          </w:p>
        </w:tc>
      </w:tr>
      <w:tr>
        <w:tc>
          <w:tcPr>
            <w:tcW w:w="851" w:type="dxa"/>
            <w:shd w:val="clear" w:color="auto" w:fill="auto"/>
            <w:vAlign w:val="center"/>
          </w:tcPr>
          <w:p>
            <w:pPr>
              <w:pStyle w:val="ListParagraph"/>
              <w:numPr>
                <w:ilvl w:val="0"/>
                <w:numId w:val="8"/>
              </w:numPr>
            </w:pPr>
          </w:p>
        </w:tc>
        <w:tc>
          <w:tcPr>
            <w:tcW w:w="4820" w:type="dxa"/>
            <w:shd w:val="clear" w:color="auto" w:fill="auto"/>
            <w:vAlign w:val="center"/>
          </w:tcPr>
          <w:p>
            <w:pPr>
              <w:jc w:val="both"/>
            </w:pPr>
            <w:r>
              <w:t>Tham mưu thủ tục đoàn ra cho đoàn lãnh đạo tỉnh</w:t>
            </w:r>
            <w:r>
              <w:rPr>
                <w:rStyle w:val="fontstyle01"/>
                <w:color w:val="auto"/>
                <w:sz w:val="28"/>
                <w:szCs w:val="28"/>
              </w:rPr>
              <w:t xml:space="preserve"> đi dự Hội nghị cấp cao thường niên Hà Tĩnh với các tỉnh của Lào: Bolikhămxay, Khăm Muồn</w:t>
            </w:r>
          </w:p>
        </w:tc>
        <w:tc>
          <w:tcPr>
            <w:tcW w:w="2438" w:type="dxa"/>
            <w:shd w:val="clear" w:color="auto" w:fill="auto"/>
            <w:vAlign w:val="center"/>
          </w:tcPr>
          <w:p>
            <w:r>
              <w:rPr>
                <w:lang w:val="vi-VN"/>
              </w:rPr>
              <w:t xml:space="preserve">Đ/c </w:t>
            </w:r>
            <w:r>
              <w:t>Ngô Thị Hoài Nam</w:t>
            </w:r>
            <w:r>
              <w:rPr>
                <w:lang w:val="vi-VN"/>
              </w:rPr>
              <w:t>, PGĐ</w:t>
            </w:r>
          </w:p>
        </w:tc>
        <w:tc>
          <w:tcPr>
            <w:tcW w:w="1276" w:type="dxa"/>
            <w:shd w:val="clear" w:color="auto" w:fill="auto"/>
            <w:vAlign w:val="center"/>
          </w:tcPr>
          <w:p>
            <w:pPr>
              <w:jc w:val="center"/>
            </w:pPr>
            <w:r>
              <w:t>LSBG</w:t>
            </w:r>
          </w:p>
        </w:tc>
        <w:tc>
          <w:tcPr>
            <w:tcW w:w="1559" w:type="dxa"/>
            <w:shd w:val="clear" w:color="auto" w:fill="auto"/>
            <w:vAlign w:val="center"/>
          </w:tcPr>
          <w:p>
            <w:pPr>
              <w:jc w:val="center"/>
            </w:pPr>
            <w:r>
              <w:t>Các phòng, đơn vị</w:t>
            </w:r>
          </w:p>
        </w:tc>
        <w:tc>
          <w:tcPr>
            <w:tcW w:w="1418" w:type="dxa"/>
            <w:shd w:val="clear" w:color="auto" w:fill="auto"/>
            <w:vAlign w:val="center"/>
          </w:tcPr>
          <w:p>
            <w:pPr>
              <w:jc w:val="center"/>
            </w:pPr>
            <w:r>
              <w:t>Tháng 10</w:t>
            </w:r>
          </w:p>
        </w:tc>
        <w:tc>
          <w:tcPr>
            <w:tcW w:w="1247" w:type="dxa"/>
            <w:shd w:val="clear" w:color="auto" w:fill="auto"/>
            <w:vAlign w:val="center"/>
          </w:tcPr>
          <w:p>
            <w:pPr>
              <w:jc w:val="center"/>
            </w:pPr>
            <w:r>
              <w:t>Tháng 12</w:t>
            </w:r>
          </w:p>
        </w:tc>
        <w:tc>
          <w:tcPr>
            <w:tcW w:w="1559" w:type="dxa"/>
            <w:shd w:val="clear" w:color="auto" w:fill="auto"/>
            <w:vAlign w:val="center"/>
          </w:tcPr>
          <w:p>
            <w:pPr>
              <w:rPr>
                <w:sz w:val="24"/>
                <w:szCs w:val="24"/>
              </w:rPr>
            </w:pPr>
            <w:r>
              <w:rPr>
                <w:sz w:val="24"/>
                <w:szCs w:val="24"/>
              </w:rPr>
              <w:t xml:space="preserve">Kế hoạch số 06-KH/TU ngày 05/11/2025 của Tỉnh ủy; Quyết định số 51-QĐ/TU của tỉnh ủy ngày 07/11/2025 và Quyết định số số 52-QĐ/TU ngày </w:t>
            </w:r>
            <w:r>
              <w:rPr>
                <w:sz w:val="24"/>
                <w:szCs w:val="24"/>
              </w:rPr>
              <w:lastRenderedPageBreak/>
              <w:t>07/11/2025 của TU</w:t>
            </w:r>
          </w:p>
        </w:tc>
      </w:tr>
      <w:tr>
        <w:tc>
          <w:tcPr>
            <w:tcW w:w="851" w:type="dxa"/>
            <w:shd w:val="clear" w:color="auto" w:fill="auto"/>
            <w:vAlign w:val="center"/>
          </w:tcPr>
          <w:p>
            <w:pPr>
              <w:pStyle w:val="ListParagraph"/>
              <w:numPr>
                <w:ilvl w:val="0"/>
                <w:numId w:val="8"/>
              </w:numPr>
            </w:pPr>
          </w:p>
        </w:tc>
        <w:tc>
          <w:tcPr>
            <w:tcW w:w="4820" w:type="dxa"/>
            <w:shd w:val="clear" w:color="auto" w:fill="auto"/>
            <w:vAlign w:val="center"/>
          </w:tcPr>
          <w:p>
            <w:pPr>
              <w:jc w:val="both"/>
            </w:pPr>
            <w:r>
              <w:t xml:space="preserve">Tham mưu thủ tục đoàn ra cho đoàn lãnh đạo tỉnh: đoàn dự Lễ khánh thành cầu hữu nghị số 5 giữa tỉnh Bolikhămxay (Lào) và tỉnh Bưng Càn (Thái Lan); đoàn đi dự Lễ khởi công công trình Trường Chính trị - Hành chính tỉnh Bolikhămxay do tỉnh Hà Tĩnh hỗ trợ; đoàn đi làm việc bàn kế hoạch hợp tác trong thời gian tới tại các tỉnh: </w:t>
            </w:r>
            <w:r>
              <w:rPr>
                <w:rStyle w:val="fontstyle01"/>
                <w:color w:val="auto"/>
                <w:sz w:val="28"/>
                <w:szCs w:val="28"/>
              </w:rPr>
              <w:t>Bolikhămxay, Khăm Muồn, Savannakhet, Thủ đô Viêng Chăn và một số tỉnh khác của Lào.</w:t>
            </w:r>
          </w:p>
        </w:tc>
        <w:tc>
          <w:tcPr>
            <w:tcW w:w="2438" w:type="dxa"/>
            <w:shd w:val="clear" w:color="auto" w:fill="auto"/>
            <w:vAlign w:val="center"/>
          </w:tcPr>
          <w:p>
            <w:pPr>
              <w:jc w:val="center"/>
            </w:pPr>
            <w:r>
              <w:rPr>
                <w:lang w:val="vi-VN"/>
              </w:rPr>
              <w:t xml:space="preserve">Đ/c </w:t>
            </w:r>
            <w:r>
              <w:t>Ngô Thị Hoài Nam</w:t>
            </w:r>
            <w:r>
              <w:rPr>
                <w:lang w:val="vi-VN"/>
              </w:rPr>
              <w:t>, PGĐ</w:t>
            </w:r>
          </w:p>
        </w:tc>
        <w:tc>
          <w:tcPr>
            <w:tcW w:w="1276" w:type="dxa"/>
            <w:shd w:val="clear" w:color="auto" w:fill="auto"/>
            <w:vAlign w:val="center"/>
          </w:tcPr>
          <w:p>
            <w:pPr>
              <w:jc w:val="center"/>
            </w:pPr>
            <w:r>
              <w:t>LSBG</w:t>
            </w:r>
          </w:p>
        </w:tc>
        <w:tc>
          <w:tcPr>
            <w:tcW w:w="1559" w:type="dxa"/>
            <w:shd w:val="clear" w:color="auto" w:fill="auto"/>
            <w:vAlign w:val="center"/>
          </w:tcPr>
          <w:p>
            <w:pPr>
              <w:jc w:val="center"/>
            </w:pPr>
            <w:r>
              <w:t>Các phòng, đơn vị</w:t>
            </w:r>
          </w:p>
        </w:tc>
        <w:tc>
          <w:tcPr>
            <w:tcW w:w="1418" w:type="dxa"/>
            <w:shd w:val="clear" w:color="auto" w:fill="auto"/>
            <w:vAlign w:val="center"/>
          </w:tcPr>
          <w:p>
            <w:pPr>
              <w:jc w:val="both"/>
            </w:pPr>
            <w:r>
              <w:t>Tháng 02</w:t>
            </w:r>
          </w:p>
        </w:tc>
        <w:tc>
          <w:tcPr>
            <w:tcW w:w="1247" w:type="dxa"/>
            <w:shd w:val="clear" w:color="auto" w:fill="auto"/>
            <w:vAlign w:val="center"/>
          </w:tcPr>
          <w:p>
            <w:pPr>
              <w:jc w:val="both"/>
            </w:pPr>
            <w:r>
              <w:t>Tháng 12</w:t>
            </w:r>
          </w:p>
        </w:tc>
        <w:tc>
          <w:tcPr>
            <w:tcW w:w="1559" w:type="dxa"/>
            <w:shd w:val="clear" w:color="auto" w:fill="auto"/>
            <w:vAlign w:val="center"/>
          </w:tcPr>
          <w:p>
            <w:pPr>
              <w:rPr>
                <w:sz w:val="24"/>
                <w:szCs w:val="24"/>
              </w:rPr>
            </w:pPr>
            <w:r>
              <w:rPr>
                <w:sz w:val="24"/>
                <w:szCs w:val="24"/>
              </w:rPr>
              <w:t>Các hoạt động này chưa diễn ra trong năm 2025</w:t>
            </w:r>
          </w:p>
        </w:tc>
      </w:tr>
      <w:tr>
        <w:tc>
          <w:tcPr>
            <w:tcW w:w="851" w:type="dxa"/>
            <w:shd w:val="clear" w:color="auto" w:fill="auto"/>
            <w:vAlign w:val="center"/>
          </w:tcPr>
          <w:p>
            <w:pPr>
              <w:pStyle w:val="ListParagraph"/>
              <w:numPr>
                <w:ilvl w:val="0"/>
                <w:numId w:val="8"/>
              </w:numPr>
            </w:pPr>
          </w:p>
        </w:tc>
        <w:tc>
          <w:tcPr>
            <w:tcW w:w="4820" w:type="dxa"/>
            <w:shd w:val="clear" w:color="auto" w:fill="auto"/>
            <w:vAlign w:val="center"/>
          </w:tcPr>
          <w:p>
            <w:pPr>
              <w:jc w:val="both"/>
            </w:pPr>
            <w:r>
              <w:t>Tham mưu thủ tục đoàn ra cho đoàn lãnh đạo tỉnh đi dự Hội nghị trù bị 9 tỉnh 3 nước Việt Nam - Lào - Thái Lan sử dụng đường 8, đường 12; đoàn đi làm việc bàn kế hoạch hợp tác thời gian tới tại các tỉnh đông bắc Thái Lan</w:t>
            </w:r>
          </w:p>
        </w:tc>
        <w:tc>
          <w:tcPr>
            <w:tcW w:w="2438" w:type="dxa"/>
            <w:shd w:val="clear" w:color="auto" w:fill="auto"/>
            <w:vAlign w:val="center"/>
          </w:tcPr>
          <w:p>
            <w:pPr>
              <w:jc w:val="center"/>
            </w:pPr>
            <w:r>
              <w:rPr>
                <w:lang w:val="vi-VN"/>
              </w:rPr>
              <w:t xml:space="preserve">Đ/c </w:t>
            </w:r>
            <w:r>
              <w:t>Ngô Thị Hoài Nam</w:t>
            </w:r>
            <w:r>
              <w:rPr>
                <w:lang w:val="vi-VN"/>
              </w:rPr>
              <w:t>, PGĐ</w:t>
            </w:r>
            <w:r>
              <w:t xml:space="preserve"> </w:t>
            </w:r>
          </w:p>
        </w:tc>
        <w:tc>
          <w:tcPr>
            <w:tcW w:w="1276" w:type="dxa"/>
            <w:shd w:val="clear" w:color="auto" w:fill="auto"/>
            <w:vAlign w:val="center"/>
          </w:tcPr>
          <w:p>
            <w:pPr>
              <w:jc w:val="center"/>
            </w:pPr>
            <w:r>
              <w:t>LSBG</w:t>
            </w:r>
          </w:p>
        </w:tc>
        <w:tc>
          <w:tcPr>
            <w:tcW w:w="1559" w:type="dxa"/>
            <w:shd w:val="clear" w:color="auto" w:fill="auto"/>
            <w:vAlign w:val="center"/>
          </w:tcPr>
          <w:p>
            <w:pPr>
              <w:jc w:val="center"/>
            </w:pPr>
            <w:r>
              <w:t>Các phòng, đơn vị</w:t>
            </w:r>
          </w:p>
        </w:tc>
        <w:tc>
          <w:tcPr>
            <w:tcW w:w="1418" w:type="dxa"/>
            <w:shd w:val="clear" w:color="auto" w:fill="auto"/>
            <w:vAlign w:val="center"/>
          </w:tcPr>
          <w:p>
            <w:pPr>
              <w:jc w:val="center"/>
            </w:pPr>
            <w:r>
              <w:t>Tháng 02</w:t>
            </w:r>
          </w:p>
        </w:tc>
        <w:tc>
          <w:tcPr>
            <w:tcW w:w="1247" w:type="dxa"/>
            <w:shd w:val="clear" w:color="auto" w:fill="auto"/>
            <w:vAlign w:val="center"/>
          </w:tcPr>
          <w:p>
            <w:r>
              <w:t xml:space="preserve"> Tháng 12</w:t>
            </w:r>
          </w:p>
        </w:tc>
        <w:tc>
          <w:tcPr>
            <w:tcW w:w="1559" w:type="dxa"/>
            <w:shd w:val="clear" w:color="auto" w:fill="auto"/>
            <w:vAlign w:val="center"/>
          </w:tcPr>
          <w:p>
            <w:pPr>
              <w:rPr>
                <w:sz w:val="24"/>
                <w:szCs w:val="24"/>
              </w:rPr>
            </w:pPr>
            <w:r>
              <w:rPr>
                <w:sz w:val="24"/>
                <w:szCs w:val="24"/>
              </w:rPr>
              <w:t>Các hoạt động này chưa diễn ra trong năm 2025</w:t>
            </w:r>
          </w:p>
        </w:tc>
      </w:tr>
      <w:tr>
        <w:tc>
          <w:tcPr>
            <w:tcW w:w="851" w:type="dxa"/>
            <w:shd w:val="clear" w:color="auto" w:fill="auto"/>
            <w:vAlign w:val="center"/>
          </w:tcPr>
          <w:p>
            <w:pPr>
              <w:pStyle w:val="ListParagraph"/>
              <w:numPr>
                <w:ilvl w:val="0"/>
                <w:numId w:val="8"/>
              </w:numPr>
            </w:pPr>
          </w:p>
        </w:tc>
        <w:tc>
          <w:tcPr>
            <w:tcW w:w="4820" w:type="dxa"/>
            <w:shd w:val="clear" w:color="auto" w:fill="auto"/>
            <w:vAlign w:val="center"/>
          </w:tcPr>
          <w:p>
            <w:pPr>
              <w:rPr>
                <w:lang w:val="vi-VN"/>
              </w:rPr>
            </w:pPr>
            <w:r>
              <w:t xml:space="preserve">Tham mưu thủ tục đoàn ra cho đoàn lãnh đạo tỉnh đi Trung Quốc làm việc, xúc tiến đầu tư vào Hà Tĩnh tại các địa bàn, đối tác có tiềm năng, quan hệ hợp </w:t>
            </w:r>
            <w:r>
              <w:lastRenderedPageBreak/>
              <w:t>tác với Hà tĩnh</w:t>
            </w:r>
          </w:p>
        </w:tc>
        <w:tc>
          <w:tcPr>
            <w:tcW w:w="2438" w:type="dxa"/>
            <w:shd w:val="clear" w:color="auto" w:fill="auto"/>
            <w:vAlign w:val="center"/>
          </w:tcPr>
          <w:p>
            <w:pPr>
              <w:jc w:val="center"/>
            </w:pPr>
            <w:r>
              <w:rPr>
                <w:lang w:val="vi-VN"/>
              </w:rPr>
              <w:lastRenderedPageBreak/>
              <w:t xml:space="preserve">Đ/c </w:t>
            </w:r>
            <w:r>
              <w:t>Ngô Thị Hoài Nam</w:t>
            </w:r>
            <w:r>
              <w:rPr>
                <w:lang w:val="vi-VN"/>
              </w:rPr>
              <w:t>, PGĐ</w:t>
            </w:r>
            <w:r>
              <w:t xml:space="preserve"> </w:t>
            </w:r>
          </w:p>
        </w:tc>
        <w:tc>
          <w:tcPr>
            <w:tcW w:w="1276" w:type="dxa"/>
            <w:shd w:val="clear" w:color="auto" w:fill="auto"/>
            <w:vAlign w:val="center"/>
          </w:tcPr>
          <w:p>
            <w:pPr>
              <w:jc w:val="center"/>
            </w:pPr>
            <w:r>
              <w:t>LSBG</w:t>
            </w:r>
          </w:p>
        </w:tc>
        <w:tc>
          <w:tcPr>
            <w:tcW w:w="1559" w:type="dxa"/>
            <w:shd w:val="clear" w:color="auto" w:fill="auto"/>
            <w:vAlign w:val="center"/>
          </w:tcPr>
          <w:p>
            <w:pPr>
              <w:jc w:val="center"/>
            </w:pPr>
            <w:r>
              <w:t>Các phòng, đơn vị</w:t>
            </w:r>
          </w:p>
        </w:tc>
        <w:tc>
          <w:tcPr>
            <w:tcW w:w="1418" w:type="dxa"/>
            <w:shd w:val="clear" w:color="auto" w:fill="auto"/>
            <w:vAlign w:val="center"/>
          </w:tcPr>
          <w:p>
            <w:pPr>
              <w:jc w:val="center"/>
            </w:pPr>
            <w:r>
              <w:t>Tháng 10</w:t>
            </w:r>
          </w:p>
        </w:tc>
        <w:tc>
          <w:tcPr>
            <w:tcW w:w="1247" w:type="dxa"/>
            <w:shd w:val="clear" w:color="auto" w:fill="auto"/>
            <w:vAlign w:val="center"/>
          </w:tcPr>
          <w:p>
            <w:r>
              <w:t xml:space="preserve"> Tháng 12</w:t>
            </w:r>
          </w:p>
        </w:tc>
        <w:tc>
          <w:tcPr>
            <w:tcW w:w="1559" w:type="dxa"/>
            <w:shd w:val="clear" w:color="auto" w:fill="auto"/>
            <w:vAlign w:val="center"/>
          </w:tcPr>
          <w:p>
            <w:pPr>
              <w:rPr>
                <w:sz w:val="24"/>
                <w:szCs w:val="24"/>
              </w:rPr>
            </w:pPr>
            <w:r>
              <w:rPr>
                <w:sz w:val="24"/>
                <w:szCs w:val="24"/>
              </w:rPr>
              <w:t>Tỉnh không tổ chức đoàn ra này</w:t>
            </w:r>
          </w:p>
        </w:tc>
      </w:tr>
      <w:tr>
        <w:tc>
          <w:tcPr>
            <w:tcW w:w="851" w:type="dxa"/>
            <w:shd w:val="clear" w:color="auto" w:fill="auto"/>
            <w:vAlign w:val="center"/>
          </w:tcPr>
          <w:p>
            <w:pPr>
              <w:pStyle w:val="ListParagraph"/>
              <w:numPr>
                <w:ilvl w:val="0"/>
                <w:numId w:val="8"/>
              </w:numPr>
            </w:pPr>
          </w:p>
        </w:tc>
        <w:tc>
          <w:tcPr>
            <w:tcW w:w="4820" w:type="dxa"/>
            <w:shd w:val="clear" w:color="auto" w:fill="auto"/>
            <w:vAlign w:val="center"/>
          </w:tcPr>
          <w:p>
            <w:pPr>
              <w:rPr>
                <w:sz w:val="26"/>
                <w:szCs w:val="26"/>
              </w:rPr>
            </w:pPr>
            <w:r>
              <w:rPr>
                <w:sz w:val="26"/>
                <w:szCs w:val="26"/>
              </w:rPr>
              <w:t>Tham mưu các nội dung liên quan đến khai quật, hồi hương hài cốt nghi là binh lính Pháp tại huyện Can Lộc</w:t>
            </w:r>
          </w:p>
        </w:tc>
        <w:tc>
          <w:tcPr>
            <w:tcW w:w="2438" w:type="dxa"/>
            <w:shd w:val="clear" w:color="auto" w:fill="auto"/>
            <w:vAlign w:val="center"/>
          </w:tcPr>
          <w:p>
            <w:pPr>
              <w:jc w:val="center"/>
            </w:pPr>
            <w:r>
              <w:rPr>
                <w:lang w:val="vi-VN"/>
              </w:rPr>
              <w:t xml:space="preserve">Đ/c </w:t>
            </w:r>
            <w:r>
              <w:t>Ngô Thị Hoài Nam</w:t>
            </w:r>
            <w:r>
              <w:rPr>
                <w:lang w:val="vi-VN"/>
              </w:rPr>
              <w:t>, PGĐ</w:t>
            </w:r>
          </w:p>
        </w:tc>
        <w:tc>
          <w:tcPr>
            <w:tcW w:w="1276" w:type="dxa"/>
            <w:shd w:val="clear" w:color="auto" w:fill="auto"/>
            <w:vAlign w:val="center"/>
          </w:tcPr>
          <w:p>
            <w:pPr>
              <w:jc w:val="center"/>
            </w:pPr>
            <w:r>
              <w:t>LSBG</w:t>
            </w:r>
          </w:p>
        </w:tc>
        <w:tc>
          <w:tcPr>
            <w:tcW w:w="1559" w:type="dxa"/>
            <w:shd w:val="clear" w:color="auto" w:fill="auto"/>
            <w:vAlign w:val="center"/>
          </w:tcPr>
          <w:p>
            <w:pPr>
              <w:jc w:val="center"/>
            </w:pPr>
            <w:r>
              <w:t>Các phòng, đơn vị</w:t>
            </w:r>
          </w:p>
        </w:tc>
        <w:tc>
          <w:tcPr>
            <w:tcW w:w="1418" w:type="dxa"/>
            <w:shd w:val="clear" w:color="auto" w:fill="auto"/>
            <w:vAlign w:val="center"/>
          </w:tcPr>
          <w:p>
            <w:pPr>
              <w:jc w:val="center"/>
            </w:pPr>
            <w:r>
              <w:t>Tháng 02</w:t>
            </w:r>
          </w:p>
        </w:tc>
        <w:tc>
          <w:tcPr>
            <w:tcW w:w="1247" w:type="dxa"/>
            <w:shd w:val="clear" w:color="auto" w:fill="auto"/>
            <w:vAlign w:val="center"/>
          </w:tcPr>
          <w:p>
            <w:r>
              <w:t xml:space="preserve"> Tháng 12</w:t>
            </w:r>
          </w:p>
        </w:tc>
        <w:tc>
          <w:tcPr>
            <w:tcW w:w="1559" w:type="dxa"/>
            <w:shd w:val="clear" w:color="auto" w:fill="auto"/>
            <w:vAlign w:val="center"/>
          </w:tcPr>
          <w:p>
            <w:pPr>
              <w:rPr>
                <w:sz w:val="24"/>
                <w:szCs w:val="24"/>
              </w:rPr>
            </w:pPr>
            <w:r>
              <w:rPr>
                <w:sz w:val="24"/>
                <w:szCs w:val="24"/>
              </w:rPr>
              <w:t>Ngày 15/10/2024, Sở Ngoại vụ đã có VB số 1082/SNgV-LSBG gửi ĐSQ Pháp tại Việt Nam trả lời theo ủy quyền của UBND tỉnh đồng ý phối hợp và tạo điều kiện tốt nhất tổ chức khai quật, hồi hương hài cốt liệt sỹ binh lính pháp; tuy nhiên phía ĐSQ Pháp đã không vào để thực hiện trong năm 2025.</w:t>
            </w:r>
          </w:p>
        </w:tc>
      </w:tr>
    </w:tbl>
    <w:p/>
    <w:p>
      <w:r>
        <w:lastRenderedPageBreak/>
        <w:t>Ghi chú: Năm 2025, Phòng LSBG có 09 nhiệm vụ khung của Sở, trong đó hoàn thành 04 nhiệm vụ trước và đúng hạn, không có nhiệm vụ quá hạn, có 05 nhiệm vụ do yếu tố khách quan nên chưa triển khai kịp thời, cụ thể: 02 nhiệm vụ (số thứ tự 04 và 08) do việc vận hành chính quyền địa phương 2 cấp và việc sáp nhập các sở ngành nên tỉnh không tổ chức các đoàn ra theo kế hoạch; 02 nhiệm vụ (số thứ tự 06 và 07) do các địa phương phía bạn đăng cai chủ trì chưa tổ chức các hoạt động trên trong năm 2025 nên không thể tham dự; 01 nhiệm vụ (số thứ tự 09) do phía Đại sứ quán Pháp không tổ chức thực hiện.</w:t>
      </w:r>
    </w:p>
    <w:p/>
    <w:p>
      <w:pPr>
        <w:rPr>
          <w:i/>
        </w:rPr>
      </w:pPr>
    </w:p>
    <w:sectPr>
      <w:headerReference w:type="default" r:id="rId9"/>
      <w:footerReference w:type="default" r:id="rId10"/>
      <w:pgSz w:w="16840" w:h="11907" w:orient="landscape" w:code="9"/>
      <w:pgMar w:top="907" w:right="539" w:bottom="1134" w:left="992"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jc w:val="right"/>
    </w:pPr>
  </w:p>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9172229"/>
      <w:docPartObj>
        <w:docPartGallery w:val="Page Numbers (Top of Page)"/>
        <w:docPartUnique/>
      </w:docPartObj>
    </w:sdtPr>
    <w:sdtEndPr>
      <w:rPr>
        <w:noProof/>
      </w:rPr>
    </w:sdtEndPr>
    <w:sdtContent>
      <w:p>
        <w:pPr>
          <w:pStyle w:val="Header"/>
          <w:jc w:val="center"/>
        </w:pPr>
        <w:r>
          <w:fldChar w:fldCharType="begin"/>
        </w:r>
        <w:r>
          <w:instrText xml:space="preserve"> PAGE   \* MERGEFORMAT </w:instrText>
        </w:r>
        <w:r>
          <w:fldChar w:fldCharType="separate"/>
        </w:r>
        <w:r>
          <w:rPr>
            <w:noProof/>
          </w:rPr>
          <w:t>5</w:t>
        </w:r>
        <w:r>
          <w:rPr>
            <w:noProof/>
          </w:rPr>
          <w:fldChar w:fldCharType="end"/>
        </w:r>
      </w:p>
    </w:sdtContent>
  </w:sdt>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D5083"/>
    <w:multiLevelType w:val="hybridMultilevel"/>
    <w:tmpl w:val="383817BC"/>
    <w:lvl w:ilvl="0" w:tplc="5EB80D9A">
      <w:numFmt w:val="bullet"/>
      <w:lvlText w:val="-"/>
      <w:lvlJc w:val="left"/>
      <w:pPr>
        <w:ind w:left="229" w:hanging="360"/>
      </w:pPr>
      <w:rPr>
        <w:rFonts w:ascii="Times New Roman" w:eastAsia="Times New Roman" w:hAnsi="Times New Roman" w:cs="Times New Roman" w:hint="default"/>
      </w:rPr>
    </w:lvl>
    <w:lvl w:ilvl="1" w:tplc="04090003" w:tentative="1">
      <w:start w:val="1"/>
      <w:numFmt w:val="bullet"/>
      <w:lvlText w:val="o"/>
      <w:lvlJc w:val="left"/>
      <w:pPr>
        <w:ind w:left="949" w:hanging="360"/>
      </w:pPr>
      <w:rPr>
        <w:rFonts w:ascii="Courier New" w:hAnsi="Courier New" w:cs="Courier New" w:hint="default"/>
      </w:rPr>
    </w:lvl>
    <w:lvl w:ilvl="2" w:tplc="04090005" w:tentative="1">
      <w:start w:val="1"/>
      <w:numFmt w:val="bullet"/>
      <w:lvlText w:val=""/>
      <w:lvlJc w:val="left"/>
      <w:pPr>
        <w:ind w:left="1669" w:hanging="360"/>
      </w:pPr>
      <w:rPr>
        <w:rFonts w:ascii="Wingdings" w:hAnsi="Wingdings" w:hint="default"/>
      </w:rPr>
    </w:lvl>
    <w:lvl w:ilvl="3" w:tplc="04090001" w:tentative="1">
      <w:start w:val="1"/>
      <w:numFmt w:val="bullet"/>
      <w:lvlText w:val=""/>
      <w:lvlJc w:val="left"/>
      <w:pPr>
        <w:ind w:left="2389" w:hanging="360"/>
      </w:pPr>
      <w:rPr>
        <w:rFonts w:ascii="Symbol" w:hAnsi="Symbol" w:hint="default"/>
      </w:rPr>
    </w:lvl>
    <w:lvl w:ilvl="4" w:tplc="04090003" w:tentative="1">
      <w:start w:val="1"/>
      <w:numFmt w:val="bullet"/>
      <w:lvlText w:val="o"/>
      <w:lvlJc w:val="left"/>
      <w:pPr>
        <w:ind w:left="3109" w:hanging="360"/>
      </w:pPr>
      <w:rPr>
        <w:rFonts w:ascii="Courier New" w:hAnsi="Courier New" w:cs="Courier New" w:hint="default"/>
      </w:rPr>
    </w:lvl>
    <w:lvl w:ilvl="5" w:tplc="04090005" w:tentative="1">
      <w:start w:val="1"/>
      <w:numFmt w:val="bullet"/>
      <w:lvlText w:val=""/>
      <w:lvlJc w:val="left"/>
      <w:pPr>
        <w:ind w:left="3829" w:hanging="360"/>
      </w:pPr>
      <w:rPr>
        <w:rFonts w:ascii="Wingdings" w:hAnsi="Wingdings" w:hint="default"/>
      </w:rPr>
    </w:lvl>
    <w:lvl w:ilvl="6" w:tplc="04090001" w:tentative="1">
      <w:start w:val="1"/>
      <w:numFmt w:val="bullet"/>
      <w:lvlText w:val=""/>
      <w:lvlJc w:val="left"/>
      <w:pPr>
        <w:ind w:left="4549" w:hanging="360"/>
      </w:pPr>
      <w:rPr>
        <w:rFonts w:ascii="Symbol" w:hAnsi="Symbol" w:hint="default"/>
      </w:rPr>
    </w:lvl>
    <w:lvl w:ilvl="7" w:tplc="04090003" w:tentative="1">
      <w:start w:val="1"/>
      <w:numFmt w:val="bullet"/>
      <w:lvlText w:val="o"/>
      <w:lvlJc w:val="left"/>
      <w:pPr>
        <w:ind w:left="5269" w:hanging="360"/>
      </w:pPr>
      <w:rPr>
        <w:rFonts w:ascii="Courier New" w:hAnsi="Courier New" w:cs="Courier New" w:hint="default"/>
      </w:rPr>
    </w:lvl>
    <w:lvl w:ilvl="8" w:tplc="04090005" w:tentative="1">
      <w:start w:val="1"/>
      <w:numFmt w:val="bullet"/>
      <w:lvlText w:val=""/>
      <w:lvlJc w:val="left"/>
      <w:pPr>
        <w:ind w:left="5989" w:hanging="360"/>
      </w:pPr>
      <w:rPr>
        <w:rFonts w:ascii="Wingdings" w:hAnsi="Wingdings" w:hint="default"/>
      </w:rPr>
    </w:lvl>
  </w:abstractNum>
  <w:abstractNum w:abstractNumId="1">
    <w:nsid w:val="179D094F"/>
    <w:multiLevelType w:val="hybridMultilevel"/>
    <w:tmpl w:val="C7FCAB34"/>
    <w:lvl w:ilvl="0" w:tplc="550AC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C65918"/>
    <w:multiLevelType w:val="hybridMultilevel"/>
    <w:tmpl w:val="8848C0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EE6D89"/>
    <w:multiLevelType w:val="hybridMultilevel"/>
    <w:tmpl w:val="9DEAA794"/>
    <w:lvl w:ilvl="0" w:tplc="50CC25C8">
      <w:start w:val="1"/>
      <w:numFmt w:val="decimal"/>
      <w:lvlText w:val="%1."/>
      <w:lvlJc w:val="left"/>
      <w:pPr>
        <w:tabs>
          <w:tab w:val="num" w:pos="644"/>
        </w:tabs>
        <w:ind w:left="644" w:hanging="360"/>
      </w:pPr>
      <w:rPr>
        <w:color w:val="auto"/>
      </w:rPr>
    </w:lvl>
    <w:lvl w:ilvl="1" w:tplc="04090019" w:tentative="1">
      <w:start w:val="1"/>
      <w:numFmt w:val="lowerLetter"/>
      <w:lvlText w:val="%2."/>
      <w:lvlJc w:val="left"/>
      <w:pPr>
        <w:tabs>
          <w:tab w:val="num" w:pos="679"/>
        </w:tabs>
        <w:ind w:left="679" w:hanging="360"/>
      </w:pPr>
    </w:lvl>
    <w:lvl w:ilvl="2" w:tplc="0409001B" w:tentative="1">
      <w:start w:val="1"/>
      <w:numFmt w:val="lowerRoman"/>
      <w:lvlText w:val="%3."/>
      <w:lvlJc w:val="right"/>
      <w:pPr>
        <w:tabs>
          <w:tab w:val="num" w:pos="1399"/>
        </w:tabs>
        <w:ind w:left="1399" w:hanging="180"/>
      </w:pPr>
    </w:lvl>
    <w:lvl w:ilvl="3" w:tplc="0409000F" w:tentative="1">
      <w:start w:val="1"/>
      <w:numFmt w:val="decimal"/>
      <w:lvlText w:val="%4."/>
      <w:lvlJc w:val="left"/>
      <w:pPr>
        <w:tabs>
          <w:tab w:val="num" w:pos="2119"/>
        </w:tabs>
        <w:ind w:left="2119" w:hanging="360"/>
      </w:pPr>
    </w:lvl>
    <w:lvl w:ilvl="4" w:tplc="04090019" w:tentative="1">
      <w:start w:val="1"/>
      <w:numFmt w:val="lowerLetter"/>
      <w:lvlText w:val="%5."/>
      <w:lvlJc w:val="left"/>
      <w:pPr>
        <w:tabs>
          <w:tab w:val="num" w:pos="2839"/>
        </w:tabs>
        <w:ind w:left="2839" w:hanging="360"/>
      </w:pPr>
    </w:lvl>
    <w:lvl w:ilvl="5" w:tplc="0409001B" w:tentative="1">
      <w:start w:val="1"/>
      <w:numFmt w:val="lowerRoman"/>
      <w:lvlText w:val="%6."/>
      <w:lvlJc w:val="right"/>
      <w:pPr>
        <w:tabs>
          <w:tab w:val="num" w:pos="3559"/>
        </w:tabs>
        <w:ind w:left="3559" w:hanging="180"/>
      </w:pPr>
    </w:lvl>
    <w:lvl w:ilvl="6" w:tplc="0409000F" w:tentative="1">
      <w:start w:val="1"/>
      <w:numFmt w:val="decimal"/>
      <w:lvlText w:val="%7."/>
      <w:lvlJc w:val="left"/>
      <w:pPr>
        <w:tabs>
          <w:tab w:val="num" w:pos="4279"/>
        </w:tabs>
        <w:ind w:left="4279" w:hanging="360"/>
      </w:pPr>
    </w:lvl>
    <w:lvl w:ilvl="7" w:tplc="04090019" w:tentative="1">
      <w:start w:val="1"/>
      <w:numFmt w:val="lowerLetter"/>
      <w:lvlText w:val="%8."/>
      <w:lvlJc w:val="left"/>
      <w:pPr>
        <w:tabs>
          <w:tab w:val="num" w:pos="4999"/>
        </w:tabs>
        <w:ind w:left="4999" w:hanging="360"/>
      </w:pPr>
    </w:lvl>
    <w:lvl w:ilvl="8" w:tplc="0409001B" w:tentative="1">
      <w:start w:val="1"/>
      <w:numFmt w:val="lowerRoman"/>
      <w:lvlText w:val="%9."/>
      <w:lvlJc w:val="right"/>
      <w:pPr>
        <w:tabs>
          <w:tab w:val="num" w:pos="5719"/>
        </w:tabs>
        <w:ind w:left="5719" w:hanging="180"/>
      </w:pPr>
    </w:lvl>
  </w:abstractNum>
  <w:abstractNum w:abstractNumId="4">
    <w:nsid w:val="2ED975E1"/>
    <w:multiLevelType w:val="hybridMultilevel"/>
    <w:tmpl w:val="FF5C0848"/>
    <w:lvl w:ilvl="0" w:tplc="A6A6C6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227C47"/>
    <w:multiLevelType w:val="hybridMultilevel"/>
    <w:tmpl w:val="7F3A4F66"/>
    <w:lvl w:ilvl="0" w:tplc="514A121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46A455AA"/>
    <w:multiLevelType w:val="hybridMultilevel"/>
    <w:tmpl w:val="9DEAA794"/>
    <w:lvl w:ilvl="0" w:tplc="50CC25C8">
      <w:start w:val="1"/>
      <w:numFmt w:val="decimal"/>
      <w:lvlText w:val="%1."/>
      <w:lvlJc w:val="left"/>
      <w:pPr>
        <w:tabs>
          <w:tab w:val="num" w:pos="644"/>
        </w:tabs>
        <w:ind w:left="644" w:hanging="360"/>
      </w:pPr>
      <w:rPr>
        <w:color w:val="auto"/>
      </w:rPr>
    </w:lvl>
    <w:lvl w:ilvl="1" w:tplc="04090019" w:tentative="1">
      <w:start w:val="1"/>
      <w:numFmt w:val="lowerLetter"/>
      <w:lvlText w:val="%2."/>
      <w:lvlJc w:val="left"/>
      <w:pPr>
        <w:tabs>
          <w:tab w:val="num" w:pos="679"/>
        </w:tabs>
        <w:ind w:left="679" w:hanging="360"/>
      </w:pPr>
    </w:lvl>
    <w:lvl w:ilvl="2" w:tplc="0409001B" w:tentative="1">
      <w:start w:val="1"/>
      <w:numFmt w:val="lowerRoman"/>
      <w:lvlText w:val="%3."/>
      <w:lvlJc w:val="right"/>
      <w:pPr>
        <w:tabs>
          <w:tab w:val="num" w:pos="1399"/>
        </w:tabs>
        <w:ind w:left="1399" w:hanging="180"/>
      </w:pPr>
    </w:lvl>
    <w:lvl w:ilvl="3" w:tplc="0409000F" w:tentative="1">
      <w:start w:val="1"/>
      <w:numFmt w:val="decimal"/>
      <w:lvlText w:val="%4."/>
      <w:lvlJc w:val="left"/>
      <w:pPr>
        <w:tabs>
          <w:tab w:val="num" w:pos="2119"/>
        </w:tabs>
        <w:ind w:left="2119" w:hanging="360"/>
      </w:pPr>
    </w:lvl>
    <w:lvl w:ilvl="4" w:tplc="04090019" w:tentative="1">
      <w:start w:val="1"/>
      <w:numFmt w:val="lowerLetter"/>
      <w:lvlText w:val="%5."/>
      <w:lvlJc w:val="left"/>
      <w:pPr>
        <w:tabs>
          <w:tab w:val="num" w:pos="2839"/>
        </w:tabs>
        <w:ind w:left="2839" w:hanging="360"/>
      </w:pPr>
    </w:lvl>
    <w:lvl w:ilvl="5" w:tplc="0409001B" w:tentative="1">
      <w:start w:val="1"/>
      <w:numFmt w:val="lowerRoman"/>
      <w:lvlText w:val="%6."/>
      <w:lvlJc w:val="right"/>
      <w:pPr>
        <w:tabs>
          <w:tab w:val="num" w:pos="3559"/>
        </w:tabs>
        <w:ind w:left="3559" w:hanging="180"/>
      </w:pPr>
    </w:lvl>
    <w:lvl w:ilvl="6" w:tplc="0409000F" w:tentative="1">
      <w:start w:val="1"/>
      <w:numFmt w:val="decimal"/>
      <w:lvlText w:val="%7."/>
      <w:lvlJc w:val="left"/>
      <w:pPr>
        <w:tabs>
          <w:tab w:val="num" w:pos="4279"/>
        </w:tabs>
        <w:ind w:left="4279" w:hanging="360"/>
      </w:pPr>
    </w:lvl>
    <w:lvl w:ilvl="7" w:tplc="04090019" w:tentative="1">
      <w:start w:val="1"/>
      <w:numFmt w:val="lowerLetter"/>
      <w:lvlText w:val="%8."/>
      <w:lvlJc w:val="left"/>
      <w:pPr>
        <w:tabs>
          <w:tab w:val="num" w:pos="4999"/>
        </w:tabs>
        <w:ind w:left="4999" w:hanging="360"/>
      </w:pPr>
    </w:lvl>
    <w:lvl w:ilvl="8" w:tplc="0409001B" w:tentative="1">
      <w:start w:val="1"/>
      <w:numFmt w:val="lowerRoman"/>
      <w:lvlText w:val="%9."/>
      <w:lvlJc w:val="right"/>
      <w:pPr>
        <w:tabs>
          <w:tab w:val="num" w:pos="5719"/>
        </w:tabs>
        <w:ind w:left="5719" w:hanging="180"/>
      </w:pPr>
    </w:lvl>
  </w:abstractNum>
  <w:abstractNum w:abstractNumId="7">
    <w:nsid w:val="6C302C0E"/>
    <w:multiLevelType w:val="hybridMultilevel"/>
    <w:tmpl w:val="2AA09038"/>
    <w:lvl w:ilvl="0" w:tplc="E05CA7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
  </w:num>
  <w:num w:numId="4">
    <w:abstractNumId w:val="4"/>
  </w:num>
  <w:num w:numId="5">
    <w:abstractNumId w:val="6"/>
  </w:num>
  <w:num w:numId="6">
    <w:abstractNumId w:val="5"/>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8"/>
      <w:szCs w:val="28"/>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link w:val="Footer"/>
    <w:uiPriority w:val="99"/>
    <w:rPr>
      <w:sz w:val="28"/>
      <w:szCs w:val="28"/>
    </w:rPr>
  </w:style>
  <w:style w:type="paragraph" w:customStyle="1" w:styleId="CharCharCharChar">
    <w:name w:val="Char Char Char Char"/>
    <w:basedOn w:val="Normal"/>
    <w:pPr>
      <w:spacing w:after="160" w:line="240" w:lineRule="exact"/>
    </w:pPr>
    <w:rPr>
      <w:rFonts w:ascii="Verdana" w:hAnsi="Verdana" w:cs="Verdana"/>
      <w:sz w:val="20"/>
      <w:szCs w:val="20"/>
    </w:rPr>
  </w:style>
  <w:style w:type="paragraph" w:styleId="BodyText">
    <w:name w:val="Body Text"/>
    <w:basedOn w:val="Normal"/>
    <w:link w:val="BodyTextChar"/>
    <w:pPr>
      <w:spacing w:before="120"/>
      <w:jc w:val="both"/>
    </w:pPr>
    <w:rPr>
      <w:szCs w:val="24"/>
    </w:rPr>
  </w:style>
  <w:style w:type="character" w:customStyle="1" w:styleId="BodyTextChar">
    <w:name w:val="Body Text Char"/>
    <w:link w:val="BodyText"/>
    <w:rPr>
      <w:sz w:val="28"/>
      <w:szCs w:val="24"/>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lang w:val="en-US" w:eastAsia="en-US"/>
    </w:rPr>
  </w:style>
  <w:style w:type="paragraph" w:styleId="Title">
    <w:name w:val="Title"/>
    <w:basedOn w:val="Normal"/>
    <w:next w:val="Normal"/>
    <w:link w:val="TitleChar"/>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Pr>
      <w:rFonts w:asciiTheme="majorHAnsi" w:eastAsiaTheme="majorEastAsia" w:hAnsiTheme="majorHAnsi" w:cstheme="majorBidi"/>
      <w:color w:val="17365D" w:themeColor="text2" w:themeShade="BF"/>
      <w:spacing w:val="5"/>
      <w:kern w:val="28"/>
      <w:sz w:val="52"/>
      <w:szCs w:val="52"/>
      <w:lang w:val="en-US" w:eastAsia="en-US"/>
    </w:rPr>
  </w:style>
  <w:style w:type="paragraph" w:customStyle="1" w:styleId="TableParagraph">
    <w:name w:val="Table Paragraph"/>
    <w:basedOn w:val="Normal"/>
    <w:qFormat/>
    <w:pPr>
      <w:widowControl w:val="0"/>
      <w:autoSpaceDE w:val="0"/>
      <w:autoSpaceDN w:val="0"/>
      <w:adjustRightInd w:val="0"/>
    </w:pPr>
    <w:rPr>
      <w:sz w:val="24"/>
      <w:szCs w:val="24"/>
      <w:lang w:val="en-AU" w:eastAsia="en-AU"/>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8"/>
      <w:szCs w:val="28"/>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link w:val="Footer"/>
    <w:uiPriority w:val="99"/>
    <w:rPr>
      <w:sz w:val="28"/>
      <w:szCs w:val="28"/>
    </w:rPr>
  </w:style>
  <w:style w:type="paragraph" w:customStyle="1" w:styleId="CharCharCharChar">
    <w:name w:val="Char Char Char Char"/>
    <w:basedOn w:val="Normal"/>
    <w:pPr>
      <w:spacing w:after="160" w:line="240" w:lineRule="exact"/>
    </w:pPr>
    <w:rPr>
      <w:rFonts w:ascii="Verdana" w:hAnsi="Verdana" w:cs="Verdana"/>
      <w:sz w:val="20"/>
      <w:szCs w:val="20"/>
    </w:rPr>
  </w:style>
  <w:style w:type="paragraph" w:styleId="BodyText">
    <w:name w:val="Body Text"/>
    <w:basedOn w:val="Normal"/>
    <w:link w:val="BodyTextChar"/>
    <w:pPr>
      <w:spacing w:before="120"/>
      <w:jc w:val="both"/>
    </w:pPr>
    <w:rPr>
      <w:szCs w:val="24"/>
    </w:rPr>
  </w:style>
  <w:style w:type="character" w:customStyle="1" w:styleId="BodyTextChar">
    <w:name w:val="Body Text Char"/>
    <w:link w:val="BodyText"/>
    <w:rPr>
      <w:sz w:val="28"/>
      <w:szCs w:val="24"/>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lang w:val="en-US" w:eastAsia="en-US"/>
    </w:rPr>
  </w:style>
  <w:style w:type="paragraph" w:styleId="Title">
    <w:name w:val="Title"/>
    <w:basedOn w:val="Normal"/>
    <w:next w:val="Normal"/>
    <w:link w:val="TitleChar"/>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Pr>
      <w:rFonts w:asciiTheme="majorHAnsi" w:eastAsiaTheme="majorEastAsia" w:hAnsiTheme="majorHAnsi" w:cstheme="majorBidi"/>
      <w:color w:val="17365D" w:themeColor="text2" w:themeShade="BF"/>
      <w:spacing w:val="5"/>
      <w:kern w:val="28"/>
      <w:sz w:val="52"/>
      <w:szCs w:val="52"/>
      <w:lang w:val="en-US" w:eastAsia="en-US"/>
    </w:rPr>
  </w:style>
  <w:style w:type="paragraph" w:customStyle="1" w:styleId="TableParagraph">
    <w:name w:val="Table Paragraph"/>
    <w:basedOn w:val="Normal"/>
    <w:qFormat/>
    <w:pPr>
      <w:widowControl w:val="0"/>
      <w:autoSpaceDE w:val="0"/>
      <w:autoSpaceDN w:val="0"/>
      <w:adjustRightInd w:val="0"/>
    </w:pPr>
    <w:rPr>
      <w:sz w:val="24"/>
      <w:szCs w:val="24"/>
      <w:lang w:val="en-AU" w:eastAsia="en-AU"/>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82397">
      <w:bodyDiv w:val="1"/>
      <w:marLeft w:val="0"/>
      <w:marRight w:val="0"/>
      <w:marTop w:val="0"/>
      <w:marBottom w:val="0"/>
      <w:divBdr>
        <w:top w:val="none" w:sz="0" w:space="0" w:color="auto"/>
        <w:left w:val="none" w:sz="0" w:space="0" w:color="auto"/>
        <w:bottom w:val="none" w:sz="0" w:space="0" w:color="auto"/>
        <w:right w:val="none" w:sz="0" w:space="0" w:color="auto"/>
      </w:divBdr>
    </w:div>
    <w:div w:id="976104430">
      <w:bodyDiv w:val="1"/>
      <w:marLeft w:val="0"/>
      <w:marRight w:val="0"/>
      <w:marTop w:val="0"/>
      <w:marBottom w:val="0"/>
      <w:divBdr>
        <w:top w:val="none" w:sz="0" w:space="0" w:color="auto"/>
        <w:left w:val="none" w:sz="0" w:space="0" w:color="auto"/>
        <w:bottom w:val="none" w:sz="0" w:space="0" w:color="auto"/>
        <w:right w:val="none" w:sz="0" w:space="0" w:color="auto"/>
      </w:divBdr>
    </w:div>
    <w:div w:id="1120412947">
      <w:bodyDiv w:val="1"/>
      <w:marLeft w:val="0"/>
      <w:marRight w:val="0"/>
      <w:marTop w:val="0"/>
      <w:marBottom w:val="0"/>
      <w:divBdr>
        <w:top w:val="none" w:sz="0" w:space="0" w:color="auto"/>
        <w:left w:val="none" w:sz="0" w:space="0" w:color="auto"/>
        <w:bottom w:val="none" w:sz="0" w:space="0" w:color="auto"/>
        <w:right w:val="none" w:sz="0" w:space="0" w:color="auto"/>
      </w:divBdr>
    </w:div>
    <w:div w:id="1331835659">
      <w:bodyDiv w:val="1"/>
      <w:marLeft w:val="0"/>
      <w:marRight w:val="0"/>
      <w:marTop w:val="0"/>
      <w:marBottom w:val="0"/>
      <w:divBdr>
        <w:top w:val="none" w:sz="0" w:space="0" w:color="auto"/>
        <w:left w:val="none" w:sz="0" w:space="0" w:color="auto"/>
        <w:bottom w:val="none" w:sz="0" w:space="0" w:color="auto"/>
        <w:right w:val="none" w:sz="0" w:space="0" w:color="auto"/>
      </w:divBdr>
    </w:div>
    <w:div w:id="1489445499">
      <w:bodyDiv w:val="1"/>
      <w:marLeft w:val="0"/>
      <w:marRight w:val="0"/>
      <w:marTop w:val="0"/>
      <w:marBottom w:val="0"/>
      <w:divBdr>
        <w:top w:val="none" w:sz="0" w:space="0" w:color="auto"/>
        <w:left w:val="none" w:sz="0" w:space="0" w:color="auto"/>
        <w:bottom w:val="none" w:sz="0" w:space="0" w:color="auto"/>
        <w:right w:val="none" w:sz="0" w:space="0" w:color="auto"/>
      </w:divBdr>
    </w:div>
    <w:div w:id="1512142013">
      <w:bodyDiv w:val="1"/>
      <w:marLeft w:val="0"/>
      <w:marRight w:val="0"/>
      <w:marTop w:val="0"/>
      <w:marBottom w:val="0"/>
      <w:divBdr>
        <w:top w:val="none" w:sz="0" w:space="0" w:color="auto"/>
        <w:left w:val="none" w:sz="0" w:space="0" w:color="auto"/>
        <w:bottom w:val="none" w:sz="0" w:space="0" w:color="auto"/>
        <w:right w:val="none" w:sz="0" w:space="0" w:color="auto"/>
      </w:divBdr>
    </w:div>
    <w:div w:id="1634169051">
      <w:bodyDiv w:val="1"/>
      <w:marLeft w:val="0"/>
      <w:marRight w:val="0"/>
      <w:marTop w:val="0"/>
      <w:marBottom w:val="0"/>
      <w:divBdr>
        <w:top w:val="none" w:sz="0" w:space="0" w:color="auto"/>
        <w:left w:val="none" w:sz="0" w:space="0" w:color="auto"/>
        <w:bottom w:val="none" w:sz="0" w:space="0" w:color="auto"/>
        <w:right w:val="none" w:sz="0" w:space="0" w:color="auto"/>
      </w:divBdr>
    </w:div>
    <w:div w:id="1913807435">
      <w:bodyDiv w:val="1"/>
      <w:marLeft w:val="0"/>
      <w:marRight w:val="0"/>
      <w:marTop w:val="0"/>
      <w:marBottom w:val="0"/>
      <w:divBdr>
        <w:top w:val="none" w:sz="0" w:space="0" w:color="auto"/>
        <w:left w:val="none" w:sz="0" w:space="0" w:color="auto"/>
        <w:bottom w:val="none" w:sz="0" w:space="0" w:color="auto"/>
        <w:right w:val="none" w:sz="0" w:space="0" w:color="auto"/>
      </w:divBdr>
    </w:div>
    <w:div w:id="211714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3A3EB-72E8-4661-8825-890F06EE2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630</Words>
  <Characters>3592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Phụ lục 1</vt:lpstr>
    </vt:vector>
  </TitlesOfParts>
  <Company>&lt;egyptian hak&gt;</Company>
  <LinksUpToDate>false</LinksUpToDate>
  <CharactersWithSpaces>4214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1</dc:title>
  <dc:creator>lavanhung</dc:creator>
  <cp:lastModifiedBy>MTMQ</cp:lastModifiedBy>
  <cp:revision>2</cp:revision>
  <cp:lastPrinted>2023-01-31T07:12:00Z</cp:lastPrinted>
  <dcterms:created xsi:type="dcterms:W3CDTF">2026-01-05T09:50:00Z</dcterms:created>
  <dcterms:modified xsi:type="dcterms:W3CDTF">2026-01-05T09:50:00Z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12b8e08bc2ee1a3d390bc9f931ceffd6d945307478f77854d4b5b2cc90447512</vt:lpwstr>
  </property>
</Properties>
</file>